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70"/>
        <w:gridCol w:w="9185"/>
      </w:tblGrid>
      <w:tr>
        <w:tc>
          <w:tcPr>
            <w:tcW w:type="dxa" w:w="17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17"/>
              </w:rPr>
            </w:pPr>
          </w:p>
        </w:tc>
        <w:tc>
          <w:tcPr>
            <w:tcW w:type="dxa" w:w="918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widowControl w:val="1"/>
              <w:spacing w:after="0" w:line="288" w:lineRule="atLeast"/>
              <w:ind/>
              <w:rPr>
                <w:rFonts w:ascii="Times New Roman" w:hAnsi="Times New Roman"/>
                <w:sz w:val="21"/>
              </w:rPr>
            </w:pPr>
            <w:r>
              <w:rPr>
                <w:b w:val="1"/>
              </w:rPr>
              <w:t xml:space="preserve">                                                 </w:t>
            </w:r>
            <w:r>
              <w:rPr>
                <w:rFonts w:ascii="Times New Roman" w:hAnsi="Times New Roman"/>
                <w:b w:val="1"/>
                <w:sz w:val="28"/>
              </w:rPr>
              <w:t>Листок нетрудоспособности</w:t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  <w:r>
        <w:rPr>
          <w:rFonts w:ascii="Times New Roman" w:hAnsi="Times New Roman"/>
          <w:sz w:val="28"/>
        </w:rPr>
        <w:t xml:space="preserve"> </w:t>
      </w:r>
    </w:p>
    <w:p w14:paraId="06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7000000">
      <w:pPr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 xml:space="preserve">            Минздрав: через мессенджер MAX можно закрыть листок нетрудоспособности</w:t>
      </w:r>
    </w:p>
    <w:p w14:paraId="08000000">
      <w:pPr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</w:t>
      </w:r>
      <w:r>
        <w:rPr>
          <w:rFonts w:ascii="Times New Roman" w:hAnsi="Times New Roman"/>
          <w:b w:val="0"/>
          <w:sz w:val="28"/>
        </w:rPr>
        <w:t xml:space="preserve"> </w:t>
      </w:r>
    </w:p>
    <w:tbl>
      <w:tblPr>
        <w:tblW w:type="auto" w:w="0"/>
        <w:tblLayout w:type="fixed"/>
      </w:tblPr>
      <w:tblGrid>
        <w:gridCol w:w="200"/>
        <w:gridCol w:w="9175"/>
      </w:tblGrid>
      <w:tr>
        <w:trPr>
          <w:trHeight w:hRule="atLeast" w:val="200"/>
        </w:trPr>
        <w:tc>
          <w:tcPr>
            <w:tcW w:type="dxa" w:w="200"/>
            <w:vAlign w:val="top"/>
          </w:tcPr>
          <w:p w14:paraId="09000000">
            <w:pPr>
              <w:spacing w:after="0" w:before="0"/>
              <w:ind w:firstLine="0" w:left="0" w:right="0"/>
            </w:pPr>
          </w:p>
        </w:tc>
        <w:tc>
          <w:tcPr>
            <w:tcW w:type="dxa" w:w="9175"/>
            <w:vAlign w:val="center"/>
          </w:tcPr>
          <w:p w14:paraId="0A000000">
            <w:pPr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B000000">
      <w:pPr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0C000000">
      <w:pPr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         Минздрав России от 26.12.2025 N 18-0/И/2-25982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«О направлении Разъяснений по вопросу возможности проведения экспертизы временной нетрудоспособности с целью закрытия листков временной нетрудоспособности при оказании медицинской помощи с применением телемедицинских технологий с использованием национального мессенджера» разъясняет, что </w:t>
      </w:r>
      <w:r>
        <w:rPr>
          <w:rFonts w:ascii="Times New Roman" w:hAnsi="Times New Roman"/>
          <w:b w:val="0"/>
          <w:sz w:val="28"/>
        </w:rPr>
        <w:t xml:space="preserve">лечащий врач имеет право применять телемедицинские технологии с использованием национального мессенджера в целях оценки состояния здоровья, в том числе при проведении экспертизы временной нетрудоспособности, и в случае подтверждения восстановления трудовой функции пациента закрыть лист нетрудоспособности. </w:t>
      </w:r>
    </w:p>
    <w:p w14:paraId="0D000000">
      <w:pPr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  При необходимости уточнения состояния гражданина в целях определения его способности осуществлять трудовую деятельность лечащим врачом принимается решение о необходимости очного осмотра. </w:t>
      </w:r>
    </w:p>
    <w:p w14:paraId="0E000000">
      <w:pPr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  Кроме того, закрытие листков нетрудоспособности с применением телемедицинских технологий с использованием национального мессенджера возможно при формировании листка по уходу за больным членом семьи, а также при карантине и при угрозе распространения заболеваний, представляющих опасность для окружающих.</w:t>
      </w:r>
    </w:p>
    <w:tbl>
      <w:tblPr>
        <w:tblW w:type="auto" w:w="0"/>
        <w:tblLayout w:type="fixed"/>
      </w:tblPr>
      <w:tblGrid>
        <w:gridCol w:w="200"/>
        <w:gridCol w:w="200"/>
      </w:tblGrid>
      <w:tr>
        <w:trPr/>
        <w:tc>
          <w:tcPr>
            <w:tcW w:type="dxa" w:w="200"/>
            <w:vAlign w:val="top"/>
          </w:tcPr>
          <w:p w14:paraId="0F000000">
            <w:pPr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00"/>
            <w:vAlign w:val="center"/>
          </w:tcPr>
          <w:p w14:paraId="10000000">
            <w:pPr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11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2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С.В. Новик</w:t>
      </w:r>
    </w:p>
    <w:p w14:paraId="13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toc 9"/>
    <w:next w:val="Style_2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2026-02-17T06:29:50Z</dcterms:modified>
</cp:coreProperties>
</file>